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C" w:rsidRPr="00571BD2" w:rsidRDefault="0025725C" w:rsidP="0057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1B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Аннотации к рабочим программам по </w:t>
      </w:r>
      <w:r w:rsidR="00275276" w:rsidRPr="00275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английскому</w:t>
      </w:r>
      <w:r w:rsidRPr="00571B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языку </w:t>
      </w:r>
      <w:r w:rsidR="008E076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10,11</w:t>
      </w:r>
      <w:r w:rsidRPr="00571B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классы</w:t>
      </w:r>
    </w:p>
    <w:p w:rsidR="0057593A" w:rsidRDefault="0057593A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BD2" w:rsidRDefault="0025725C" w:rsidP="00571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275276" w:rsidRPr="00275276">
        <w:rPr>
          <w:rFonts w:ascii="Times New Roman" w:hAnsi="Times New Roman" w:cs="Times New Roman"/>
          <w:sz w:val="28"/>
          <w:szCs w:val="28"/>
        </w:rPr>
        <w:t>английскому</w:t>
      </w:r>
      <w:r w:rsidRPr="0057593A">
        <w:rPr>
          <w:rFonts w:ascii="Times New Roman" w:hAnsi="Times New Roman" w:cs="Times New Roman"/>
          <w:sz w:val="28"/>
          <w:szCs w:val="28"/>
        </w:rPr>
        <w:t xml:space="preserve"> язык</w:t>
      </w:r>
      <w:r w:rsidR="008E0768">
        <w:rPr>
          <w:rFonts w:ascii="Times New Roman" w:hAnsi="Times New Roman" w:cs="Times New Roman"/>
          <w:sz w:val="28"/>
          <w:szCs w:val="28"/>
        </w:rPr>
        <w:t>у</w:t>
      </w:r>
      <w:r w:rsidR="00275276">
        <w:rPr>
          <w:rFonts w:ascii="Times New Roman" w:hAnsi="Times New Roman" w:cs="Times New Roman"/>
          <w:sz w:val="28"/>
          <w:szCs w:val="28"/>
        </w:rPr>
        <w:t xml:space="preserve"> составлены </w:t>
      </w:r>
      <w:r w:rsidR="008E0768" w:rsidRPr="008E0768">
        <w:rPr>
          <w:rFonts w:ascii="Times New Roman" w:hAnsi="Times New Roman" w:cs="Times New Roman"/>
          <w:sz w:val="28"/>
          <w:szCs w:val="28"/>
        </w:rPr>
        <w:t xml:space="preserve">на основе Федерального компонента государственного образовательного стандарта  среднего  общего образования по английскому языку, примерной программы среднего  общего образования по английскому языку, авторской  программы   «Английский язык» для 10-11 классов (Автор </w:t>
      </w:r>
      <w:proofErr w:type="spellStart"/>
      <w:r w:rsidR="008E0768" w:rsidRPr="008E0768">
        <w:rPr>
          <w:rFonts w:ascii="Times New Roman" w:hAnsi="Times New Roman" w:cs="Times New Roman"/>
          <w:sz w:val="28"/>
          <w:szCs w:val="28"/>
        </w:rPr>
        <w:t>Альпаков</w:t>
      </w:r>
      <w:proofErr w:type="spellEnd"/>
      <w:r w:rsidR="008E0768" w:rsidRPr="008E0768">
        <w:rPr>
          <w:rFonts w:ascii="Times New Roman" w:hAnsi="Times New Roman" w:cs="Times New Roman"/>
          <w:sz w:val="28"/>
          <w:szCs w:val="28"/>
        </w:rPr>
        <w:t xml:space="preserve"> В.Г. «Английский в фокусе, 10-11» («</w:t>
      </w:r>
      <w:proofErr w:type="spellStart"/>
      <w:r w:rsidR="008E0768" w:rsidRPr="008E0768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="008E0768" w:rsidRPr="008E0768">
        <w:rPr>
          <w:rFonts w:ascii="Times New Roman" w:hAnsi="Times New Roman" w:cs="Times New Roman"/>
          <w:sz w:val="28"/>
          <w:szCs w:val="28"/>
        </w:rPr>
        <w:t>»), М.: Просвещение, 2011.).</w:t>
      </w:r>
    </w:p>
    <w:p w:rsidR="00571BD2" w:rsidRPr="00571BD2" w:rsidRDefault="0093355F" w:rsidP="00571BD2">
      <w:pPr>
        <w:pStyle w:val="a4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571BD2" w:rsidRPr="00571BD2">
        <w:rPr>
          <w:b/>
          <w:sz w:val="28"/>
          <w:szCs w:val="28"/>
        </w:rPr>
        <w:t xml:space="preserve"> Цели курса:</w:t>
      </w:r>
      <w:r w:rsidR="00571BD2" w:rsidRPr="00571BD2">
        <w:rPr>
          <w:sz w:val="28"/>
          <w:szCs w:val="28"/>
        </w:rPr>
        <w:t xml:space="preserve"> 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иноязычной коммуникативной компетенции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(речевой, языковой, социокультурной, компенсаторной, учебно-познавательной):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чтении, письме);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компетенция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компетенци</w:t>
      </w:r>
      <w:proofErr w:type="gramStart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и передаче иноязычной информации;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8E0768" w:rsidRPr="008E0768" w:rsidRDefault="008E0768" w:rsidP="008E0768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275276" w:rsidRDefault="00275276" w:rsidP="002752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7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8E0768">
        <w:rPr>
          <w:rFonts w:eastAsia="Times New Roman"/>
          <w:color w:val="auto"/>
          <w:sz w:val="28"/>
          <w:szCs w:val="28"/>
          <w:lang w:eastAsia="ru-RU"/>
        </w:rPr>
        <w:t>Допороговом</w:t>
      </w:r>
      <w:proofErr w:type="spellEnd"/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 уровне (А</w:t>
      </w:r>
      <w:proofErr w:type="gramStart"/>
      <w:r w:rsidRPr="008E0768">
        <w:rPr>
          <w:rFonts w:eastAsia="Times New Roman"/>
          <w:color w:val="auto"/>
          <w:sz w:val="28"/>
          <w:szCs w:val="28"/>
          <w:lang w:eastAsia="ru-RU"/>
        </w:rPr>
        <w:t>2</w:t>
      </w:r>
      <w:proofErr w:type="gramEnd"/>
      <w:r w:rsidRPr="008E0768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lastRenderedPageBreak/>
        <w:t>использование двуязычных и одноязычных (толковых) словарей и другой справочной литературы;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развитие умений ориентироваться </w:t>
      </w:r>
      <w:proofErr w:type="gramStart"/>
      <w:r w:rsidRPr="008E0768">
        <w:rPr>
          <w:rFonts w:eastAsia="Times New Roman"/>
          <w:color w:val="auto"/>
          <w:sz w:val="28"/>
          <w:szCs w:val="28"/>
          <w:lang w:eastAsia="ru-RU"/>
        </w:rPr>
        <w:t>в</w:t>
      </w:r>
      <w:proofErr w:type="gramEnd"/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 письменном и </w:t>
      </w:r>
      <w:proofErr w:type="spellStart"/>
      <w:r w:rsidRPr="008E0768">
        <w:rPr>
          <w:rFonts w:eastAsia="Times New Roman"/>
          <w:color w:val="auto"/>
          <w:sz w:val="28"/>
          <w:szCs w:val="28"/>
          <w:lang w:eastAsia="ru-RU"/>
        </w:rPr>
        <w:t>аудиотексте</w:t>
      </w:r>
      <w:proofErr w:type="spellEnd"/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 на иностранном языке;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>развитие умений обобщать информацию, выделять её из различных источни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8E0768">
        <w:rPr>
          <w:rFonts w:eastAsia="Times New Roman"/>
          <w:color w:val="auto"/>
          <w:sz w:val="28"/>
          <w:szCs w:val="28"/>
          <w:lang w:eastAsia="ru-RU"/>
        </w:rPr>
        <w:t>ов;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>использование выборочного перевода для достижения понимания текста;</w:t>
      </w:r>
    </w:p>
    <w:p w:rsidR="008E0768" w:rsidRP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8E0768" w:rsidRDefault="008E0768" w:rsidP="008E0768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участие в проектной деятельности </w:t>
      </w:r>
      <w:proofErr w:type="spellStart"/>
      <w:r w:rsidRPr="008E0768">
        <w:rPr>
          <w:rFonts w:eastAsia="Times New Roman"/>
          <w:color w:val="auto"/>
          <w:sz w:val="28"/>
          <w:szCs w:val="28"/>
          <w:lang w:eastAsia="ru-RU"/>
        </w:rPr>
        <w:t>межпредметного</w:t>
      </w:r>
      <w:proofErr w:type="spellEnd"/>
      <w:r w:rsidRPr="008E0768">
        <w:rPr>
          <w:rFonts w:eastAsia="Times New Roman"/>
          <w:color w:val="auto"/>
          <w:sz w:val="28"/>
          <w:szCs w:val="28"/>
          <w:lang w:eastAsia="ru-RU"/>
        </w:rPr>
        <w:t xml:space="preserve"> характера, в том </w:t>
      </w:r>
      <w:r>
        <w:rPr>
          <w:rFonts w:eastAsia="Times New Roman"/>
          <w:color w:val="auto"/>
          <w:sz w:val="28"/>
          <w:szCs w:val="28"/>
          <w:lang w:eastAsia="ru-RU"/>
        </w:rPr>
        <w:t>числе с использованием сети Интернет</w:t>
      </w:r>
      <w:r w:rsidRPr="008E076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3355F" w:rsidRPr="00282D86" w:rsidRDefault="00571BD2" w:rsidP="008E07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3355F" w:rsidRPr="00282D86">
        <w:rPr>
          <w:b/>
          <w:bCs/>
          <w:sz w:val="28"/>
          <w:szCs w:val="28"/>
        </w:rPr>
        <w:t xml:space="preserve">. Общая трудоемкость 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МОБУ СОШ № 34 </w:t>
      </w:r>
      <w:r w:rsidR="008E0768">
        <w:rPr>
          <w:rFonts w:ascii="Times New Roman" w:eastAsiaTheme="minorEastAsia" w:hAnsi="Times New Roman" w:cs="Times New Roman"/>
          <w:sz w:val="28"/>
          <w:szCs w:val="28"/>
        </w:rPr>
        <w:t>207 часов</w:t>
      </w:r>
      <w:bookmarkStart w:id="0" w:name="_GoBack"/>
      <w:bookmarkEnd w:id="0"/>
      <w:r w:rsidRPr="00275276">
        <w:rPr>
          <w:rFonts w:ascii="Times New Roman" w:eastAsiaTheme="minorEastAsia" w:hAnsi="Times New Roman" w:cs="Times New Roman"/>
          <w:sz w:val="28"/>
          <w:szCs w:val="28"/>
        </w:rPr>
        <w:t xml:space="preserve"> отводится для изучения учебного предмета в </w:t>
      </w:r>
      <w:r w:rsidR="008E0768">
        <w:rPr>
          <w:rFonts w:ascii="Times New Roman" w:eastAsiaTheme="minorEastAsia" w:hAnsi="Times New Roman" w:cs="Times New Roman"/>
          <w:sz w:val="28"/>
          <w:szCs w:val="28"/>
        </w:rPr>
        <w:t>10,11</w:t>
      </w:r>
      <w:r w:rsidRPr="00275276">
        <w:rPr>
          <w:rFonts w:ascii="Times New Roman" w:eastAsiaTheme="minorEastAsia" w:hAnsi="Times New Roman" w:cs="Times New Roman"/>
          <w:sz w:val="28"/>
          <w:szCs w:val="28"/>
        </w:rPr>
        <w:t xml:space="preserve"> классах: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E0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7527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(3</w:t>
      </w:r>
      <w:r w:rsidRPr="0027527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часов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лю);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</w:t>
      </w:r>
      <w:r w:rsidR="008E0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="008E0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– 102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.(3 часа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="008E0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93355F" w:rsidRPr="00282D86" w:rsidRDefault="00571BD2" w:rsidP="00571B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55F" w:rsidRPr="00282D86">
        <w:rPr>
          <w:b/>
          <w:bCs/>
          <w:sz w:val="28"/>
          <w:szCs w:val="28"/>
        </w:rPr>
        <w:t xml:space="preserve">. Формы контроля </w:t>
      </w:r>
    </w:p>
    <w:p w:rsidR="0093355F" w:rsidRDefault="0093355F" w:rsidP="00571B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E52E62" w:rsidRDefault="00E52E62" w:rsidP="0093355F">
      <w:pPr>
        <w:pStyle w:val="Default"/>
        <w:rPr>
          <w:sz w:val="28"/>
          <w:szCs w:val="28"/>
        </w:rPr>
      </w:pPr>
    </w:p>
    <w:p w:rsidR="00E52E62" w:rsidRPr="00476C01" w:rsidRDefault="00E52E62" w:rsidP="0093355F">
      <w:pPr>
        <w:pStyle w:val="Default"/>
        <w:rPr>
          <w:sz w:val="28"/>
          <w:szCs w:val="28"/>
        </w:rPr>
      </w:pPr>
    </w:p>
    <w:p w:rsidR="0093355F" w:rsidRP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93355F" w:rsidRPr="0093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008"/>
    <w:multiLevelType w:val="hybridMultilevel"/>
    <w:tmpl w:val="65DAD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A4509"/>
    <w:multiLevelType w:val="hybridMultilevel"/>
    <w:tmpl w:val="5A18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2036E"/>
    <w:multiLevelType w:val="hybridMultilevel"/>
    <w:tmpl w:val="9362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143A"/>
    <w:multiLevelType w:val="hybridMultilevel"/>
    <w:tmpl w:val="37C4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45557"/>
    <w:multiLevelType w:val="hybridMultilevel"/>
    <w:tmpl w:val="53EA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A7ED9"/>
    <w:multiLevelType w:val="hybridMultilevel"/>
    <w:tmpl w:val="347E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B0"/>
    <w:rsid w:val="00072B91"/>
    <w:rsid w:val="0025725C"/>
    <w:rsid w:val="00275276"/>
    <w:rsid w:val="00571BD2"/>
    <w:rsid w:val="0057593A"/>
    <w:rsid w:val="008553C8"/>
    <w:rsid w:val="008E0768"/>
    <w:rsid w:val="0093355F"/>
    <w:rsid w:val="00E52E62"/>
    <w:rsid w:val="00E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7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7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</cp:revision>
  <dcterms:created xsi:type="dcterms:W3CDTF">2018-02-05T09:01:00Z</dcterms:created>
  <dcterms:modified xsi:type="dcterms:W3CDTF">2019-10-29T09:48:00Z</dcterms:modified>
</cp:coreProperties>
</file>